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Liberation Sans" w:hAnsi="Liberation Sans"/>
          <w:b/>
          <w:color w:val="000000"/>
          <w:sz w:val="40"/>
        </w:rPr>
        <w:t>Learner Variety and Inclusive Learning</w:t>
      </w:r>
    </w:p>
    <w:p>
      <w:pPr>
        <w:spacing w:after="180"/>
      </w:pPr>
      <w:r>
        <w:rPr>
          <w:rFonts w:ascii="Liberation Sans" w:hAnsi="Liberation Sans"/>
          <w:color w:val="5B6573"/>
          <w:sz w:val="19"/>
        </w:rPr>
        <w:t>General reference for the BAGAL Project demo</w:t>
      </w:r>
    </w:p>
    <w:p>
      <w:r>
        <w:rPr>
          <w:rFonts w:ascii="Liberation Sans" w:hAnsi="Liberation Sans"/>
          <w:color w:val="222222"/>
          <w:sz w:val="21"/>
        </w:rPr>
        <w:t>Adult learners may differ in ways that affect how they access a lesson and take part. This file gives the Project background for considering possible barriers; it does not describe every group or assign needs to individual learners.</w:t>
      </w:r>
    </w:p>
    <w:p>
      <w:pPr>
        <w:pStyle w:val="Heading1"/>
      </w:pPr>
      <w:r>
        <w:t>Differences that can affect participation</w:t>
      </w:r>
    </w:p>
    <w:p>
      <w:pPr>
        <w:pStyle w:val="ListBullet"/>
        <w:spacing w:after="50" w:line="247" w:lineRule="auto"/>
        <w:ind w:left="403" w:hanging="230"/>
      </w:pPr>
      <w:r>
        <w:rPr>
          <w:rFonts w:ascii="Liberation Sans" w:hAnsi="Liberation Sans"/>
          <w:color w:val="222222"/>
          <w:sz w:val="21"/>
        </w:rPr>
        <w:t>Prior knowledge, formal education and experience with the topic.</w:t>
      </w:r>
    </w:p>
    <w:p>
      <w:pPr>
        <w:pStyle w:val="ListBullet"/>
        <w:spacing w:after="50" w:line="247" w:lineRule="auto"/>
        <w:ind w:left="403" w:hanging="230"/>
      </w:pPr>
      <w:r>
        <w:rPr>
          <w:rFonts w:ascii="Liberation Sans" w:hAnsi="Liberation Sans"/>
          <w:color w:val="222222"/>
          <w:sz w:val="21"/>
        </w:rPr>
        <w:t>Confidence with reading, writing, numbers, technology or the lesson language.</w:t>
      </w:r>
    </w:p>
    <w:p>
      <w:pPr>
        <w:pStyle w:val="ListBullet"/>
        <w:spacing w:after="50" w:line="247" w:lineRule="auto"/>
        <w:ind w:left="403" w:hanging="230"/>
      </w:pPr>
      <w:r>
        <w:rPr>
          <w:rFonts w:ascii="Liberation Sans" w:hAnsi="Liberation Sans"/>
          <w:color w:val="222222"/>
          <w:sz w:val="21"/>
        </w:rPr>
        <w:t>Access to a suitable device, reliable internet or time to study.</w:t>
      </w:r>
    </w:p>
    <w:p>
      <w:pPr>
        <w:pStyle w:val="ListBullet"/>
        <w:spacing w:after="50" w:line="247" w:lineRule="auto"/>
        <w:ind w:left="403" w:hanging="230"/>
      </w:pPr>
      <w:r>
        <w:rPr>
          <w:rFonts w:ascii="Liberation Sans" w:hAnsi="Liberation Sans"/>
          <w:color w:val="222222"/>
          <w:sz w:val="21"/>
        </w:rPr>
        <w:t>Sensory, physical, communication or cognitive access needs.</w:t>
      </w:r>
    </w:p>
    <w:p>
      <w:pPr>
        <w:pStyle w:val="ListBullet"/>
        <w:spacing w:after="50" w:line="247" w:lineRule="auto"/>
        <w:ind w:left="403" w:hanging="230"/>
      </w:pPr>
      <w:r>
        <w:rPr>
          <w:rFonts w:ascii="Liberation Sans" w:hAnsi="Liberation Sans"/>
          <w:color w:val="222222"/>
          <w:sz w:val="21"/>
        </w:rPr>
        <w:t>Work, family or community responsibilities.</w:t>
      </w:r>
    </w:p>
    <w:p>
      <w:r>
        <w:rPr>
          <w:rFonts w:ascii="Liberation Sans" w:hAnsi="Liberation Sans"/>
          <w:color w:val="222222"/>
          <w:sz w:val="21"/>
        </w:rPr>
        <w:t>Treat these as possibilities, not labels. Do not infer a learner’s needs from age, job, nationality or education history.</w:t>
      </w:r>
    </w:p>
    <w:p>
      <w:pPr>
        <w:pStyle w:val="Heading1"/>
      </w:pPr>
      <w:r>
        <w:t>Inclusive choices to consider</w:t>
      </w:r>
    </w:p>
    <w:p>
      <w:pPr>
        <w:pStyle w:val="ListBullet"/>
        <w:spacing w:after="50" w:line="247" w:lineRule="auto"/>
        <w:ind w:left="403" w:hanging="230"/>
      </w:pPr>
      <w:r>
        <w:rPr>
          <w:rFonts w:ascii="Liberation Sans" w:hAnsi="Liberation Sans"/>
          <w:color w:val="222222"/>
          <w:sz w:val="21"/>
        </w:rPr>
        <w:t>Explain the purpose and use clear language for important terms.</w:t>
      </w:r>
    </w:p>
    <w:p>
      <w:pPr>
        <w:pStyle w:val="ListBullet"/>
        <w:spacing w:after="50" w:line="247" w:lineRule="auto"/>
        <w:ind w:left="403" w:hanging="230"/>
      </w:pPr>
      <w:r>
        <w:rPr>
          <w:rFonts w:ascii="Liberation Sans" w:hAnsi="Liberation Sans"/>
          <w:color w:val="222222"/>
          <w:sz w:val="21"/>
        </w:rPr>
        <w:t>Break complex directions into short steps and show an example when useful.</w:t>
      </w:r>
    </w:p>
    <w:p>
      <w:pPr>
        <w:pStyle w:val="ListBullet"/>
        <w:spacing w:after="50" w:line="247" w:lineRule="auto"/>
        <w:ind w:left="403" w:hanging="230"/>
      </w:pPr>
      <w:r>
        <w:rPr>
          <w:rFonts w:ascii="Liberation Sans" w:hAnsi="Liberation Sans"/>
          <w:color w:val="222222"/>
          <w:sz w:val="21"/>
        </w:rPr>
        <w:t>Present important information in more than one way when that improves access.</w:t>
      </w:r>
    </w:p>
    <w:p>
      <w:pPr>
        <w:pStyle w:val="ListBullet"/>
        <w:spacing w:after="50" w:line="247" w:lineRule="auto"/>
        <w:ind w:left="403" w:hanging="230"/>
      </w:pPr>
      <w:r>
        <w:rPr>
          <w:rFonts w:ascii="Liberation Sans" w:hAnsi="Liberation Sans"/>
          <w:color w:val="222222"/>
          <w:sz w:val="21"/>
        </w:rPr>
        <w:t>Offer options for participation or response when they still support the learning goal.</w:t>
      </w:r>
    </w:p>
    <w:p>
      <w:pPr>
        <w:pStyle w:val="ListBullet"/>
        <w:spacing w:after="50" w:line="247" w:lineRule="auto"/>
        <w:ind w:left="403" w:hanging="230"/>
      </w:pPr>
      <w:r>
        <w:rPr>
          <w:rFonts w:ascii="Liberation Sans" w:hAnsi="Liberation Sans"/>
          <w:color w:val="222222"/>
          <w:sz w:val="21"/>
        </w:rPr>
        <w:t>Provide supported practice; consider an offline or printable option if the lesson depends on technology.</w:t>
      </w:r>
    </w:p>
    <w:p>
      <w:pPr>
        <w:pStyle w:val="ListBullet"/>
        <w:spacing w:after="50" w:line="247" w:lineRule="auto"/>
        <w:ind w:left="403" w:hanging="230"/>
      </w:pPr>
      <w:r>
        <w:rPr>
          <w:rFonts w:ascii="Liberation Sans" w:hAnsi="Liberation Sans"/>
          <w:color w:val="222222"/>
          <w:sz w:val="21"/>
        </w:rPr>
        <w:t>Use fictional examples when personal disclosure is not needed for learning.</w:t>
      </w:r>
    </w:p>
    <w:p>
      <w:r>
        <w:rPr>
          <w:rFonts w:ascii="Liberation Sans" w:hAnsi="Liberation Sans"/>
          <w:color w:val="222222"/>
          <w:sz w:val="21"/>
        </w:rPr>
        <w:t>CAST’s Universal Design for Learning Guidelines group design options around engagement, representation and action or expression. This short summary is an introduction, not a full guide to UDL.</w:t>
      </w:r>
    </w:p>
    <w:p>
      <w:pPr>
        <w:pStyle w:val="Heading1"/>
      </w:pPr>
      <w:r>
        <w:t>Sources</w:t>
      </w:r>
    </w:p>
    <w:p>
      <w:pPr>
        <w:spacing w:after="60"/>
      </w:pPr>
      <w:r>
        <w:rPr>
          <w:rFonts w:ascii="Liberation Sans" w:hAnsi="Liberation Sans"/>
          <w:color w:val="5B6573"/>
          <w:sz w:val="19"/>
        </w:rPr>
        <w:t>These references inform the general background in this file.</w:t>
      </w:r>
    </w:p>
    <w:p>
      <w:pPr>
        <w:pStyle w:val="ListBullet"/>
        <w:spacing w:after="50" w:line="247" w:lineRule="auto"/>
        <w:ind w:left="403" w:hanging="230"/>
      </w:pPr>
      <w:hyperlink r:id="rId9">
        <w:r>
          <w:rPr>
            <w:color w:val="245A83"/>
            <w:u w:val="single"/>
          </w:rPr>
          <w:t>UNESCO Recommendation on Adult Learning and Education (2015)</w:t>
        </w:r>
      </w:hyperlink>
    </w:p>
    <w:p>
      <w:pPr>
        <w:pStyle w:val="ListBullet"/>
        <w:spacing w:after="50" w:line="247" w:lineRule="auto"/>
        <w:ind w:left="403" w:hanging="230"/>
      </w:pPr>
      <w:hyperlink r:id="rId10">
        <w:r>
          <w:rPr>
            <w:color w:val="245A83"/>
            <w:u w:val="single"/>
          </w:rPr>
          <w:t>CAST Universal Design for Learning Guidelines 3.0 (2024)</w:t>
        </w:r>
      </w:hyperlink>
    </w:p>
    <w:sectPr w:rsidR="00FC693F" w:rsidRPr="0006063C" w:rsidSect="00034616">
      <w:pgSz w:w="12240" w:h="15840"/>
      <w:pgMar w:top="979" w:right="1181" w:bottom="936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7" w:lineRule="auto"/>
    </w:pPr>
    <w:rPr>
      <w:rFonts w:ascii="Liberation Sans" w:hAnsi="Liberation Sans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60"/>
      <w:outlineLvl w:val="0"/>
    </w:pPr>
    <w:rPr>
      <w:rFonts w:asciiTheme="majorHAnsi" w:eastAsiaTheme="majorEastAsia" w:hAnsiTheme="majorHAnsi" w:cstheme="majorBidi" w:ascii="Liberation Sans" w:hAnsi="Liberation Sans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Theme="majorHAnsi" w:eastAsiaTheme="majorEastAsia" w:hAnsiTheme="majorHAnsi" w:cstheme="majorBidi" w:ascii="Liberation Sans" w:hAnsi="Liberation Sans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/>
      <w:contextualSpacing/>
    </w:pPr>
    <w:rPr>
      <w:rFonts w:asciiTheme="majorHAnsi" w:eastAsiaTheme="majorEastAsia" w:hAnsiTheme="majorHAnsi" w:cstheme="majorBidi" w:ascii="Liberation Sans" w:hAnsi="Liberation Sans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40" w:line="245" w:lineRule="auto"/>
      <w:contextualSpacing/>
    </w:pPr>
    <w:rPr>
      <w:rFonts w:ascii="Liberation Sans" w:hAnsi="Liberation Sans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unesco.org/en/legal-affairs/recommendation-adult-learning-and-education" TargetMode="External"/><Relationship Id="rId10" Type="http://schemas.openxmlformats.org/officeDocument/2006/relationships/hyperlink" Target="https://udlguidelines.cast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