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Liberation Sans" w:hAnsi="Liberation Sans"/>
          <w:b/>
          <w:color w:val="000000"/>
          <w:sz w:val="40"/>
        </w:rPr>
        <w:t>Adult Learning Background</w:t>
      </w:r>
    </w:p>
    <w:p>
      <w:pPr>
        <w:spacing w:after="180"/>
      </w:pPr>
      <w:r>
        <w:rPr>
          <w:rFonts w:ascii="Liberation Sans" w:hAnsi="Liberation Sans"/>
          <w:color w:val="5B6573"/>
          <w:sz w:val="19"/>
        </w:rPr>
        <w:t>General reference for the BAGAL Project demo</w:t>
      </w:r>
    </w:p>
    <w:p>
      <w:r>
        <w:rPr>
          <w:rFonts w:ascii="Liberation Sans" w:hAnsi="Liberation Sans"/>
          <w:color w:val="222222"/>
          <w:sz w:val="21"/>
        </w:rPr>
        <w:t>Adult education covers many kinds of learning and many purposes. This short reference gives the Project shared background across topics. It offers general context, while the relevant lesson brief and BAGAL skill supply the details for each task.</w:t>
      </w:r>
    </w:p>
    <w:p>
      <w:pPr>
        <w:pStyle w:val="Heading1"/>
      </w:pPr>
      <w:r>
        <w:t>What adult education includes</w:t>
      </w:r>
    </w:p>
    <w:p>
      <w:r>
        <w:rPr>
          <w:rFonts w:ascii="Liberation Sans" w:hAnsi="Liberation Sans"/>
          <w:color w:val="222222"/>
          <w:sz w:val="21"/>
        </w:rPr>
        <w:t>UNESCO describes adult learning and education as formal, non-formal and informal learning through which adults develop capabilities for life and work and participate in society. It can include basic skills, continuing training, professional development and community learning.</w:t>
      </w:r>
    </w:p>
    <w:p>
      <w:r>
        <w:rPr>
          <w:rFonts w:ascii="Liberation Sans" w:hAnsi="Liberation Sans"/>
          <w:color w:val="222222"/>
          <w:sz w:val="21"/>
        </w:rPr>
        <w:t>Adults take part for different reasons, including employment, personal or professional development, transferable skills and active citizenship. The purpose and setting should come from the lesson being prepared.</w:t>
      </w:r>
    </w:p>
    <w:p>
      <w:pPr>
        <w:pStyle w:val="Heading1"/>
      </w:pPr>
      <w:r>
        <w:t>What can vary</w:t>
      </w:r>
    </w:p>
    <w:p>
      <w:r>
        <w:rPr>
          <w:rFonts w:ascii="Liberation Sans" w:hAnsi="Liberation Sans"/>
          <w:color w:val="222222"/>
          <w:sz w:val="21"/>
        </w:rPr>
        <w:t>Adults differ in prior knowledge, experience, language, confidence, digital access, availability and reasons for learning. These differences can also exist within one group. Age, job or education history alone does not show what an individual knows or needs.</w:t>
      </w:r>
    </w:p>
    <w:p>
      <w:pPr>
        <w:pStyle w:val="Heading1"/>
      </w:pPr>
      <w:r>
        <w:t>Ideas to keep in view</w:t>
      </w:r>
    </w:p>
    <w:p>
      <w:pPr>
        <w:pStyle w:val="ListBullet"/>
        <w:spacing w:after="50" w:line="247" w:lineRule="auto"/>
        <w:ind w:left="403" w:hanging="230"/>
      </w:pPr>
      <w:r>
        <w:rPr>
          <w:rFonts w:ascii="Liberation Sans" w:hAnsi="Liberation Sans"/>
          <w:color w:val="222222"/>
          <w:sz w:val="21"/>
        </w:rPr>
        <w:t>Make the purpose of learning clear and relevant to the group.</w:t>
      </w:r>
    </w:p>
    <w:p>
      <w:pPr>
        <w:pStyle w:val="ListBullet"/>
        <w:spacing w:after="50" w:line="247" w:lineRule="auto"/>
        <w:ind w:left="403" w:hanging="230"/>
      </w:pPr>
      <w:r>
        <w:rPr>
          <w:rFonts w:ascii="Liberation Sans" w:hAnsi="Liberation Sans"/>
          <w:color w:val="222222"/>
          <w:sz w:val="21"/>
        </w:rPr>
        <w:t>Connect new material with useful prior experience without requiring personal disclosure.</w:t>
      </w:r>
    </w:p>
    <w:p>
      <w:pPr>
        <w:pStyle w:val="ListBullet"/>
        <w:spacing w:after="50" w:line="247" w:lineRule="auto"/>
        <w:ind w:left="403" w:hanging="230"/>
      </w:pPr>
      <w:r>
        <w:rPr>
          <w:rFonts w:ascii="Liberation Sans" w:hAnsi="Liberation Sans"/>
          <w:color w:val="222222"/>
          <w:sz w:val="21"/>
        </w:rPr>
        <w:t>Give learners a chance to apply an idea or skill to a meaningful task.</w:t>
      </w:r>
    </w:p>
    <w:p>
      <w:pPr>
        <w:pStyle w:val="ListBullet"/>
        <w:spacing w:after="50" w:line="247" w:lineRule="auto"/>
        <w:ind w:left="403" w:hanging="230"/>
      </w:pPr>
      <w:r>
        <w:rPr>
          <w:rFonts w:ascii="Liberation Sans" w:hAnsi="Liberation Sans"/>
          <w:color w:val="222222"/>
          <w:sz w:val="21"/>
        </w:rPr>
        <w:t>Where it fits the goal, allow different ways to take part or show learning.</w:t>
      </w:r>
    </w:p>
    <w:p>
      <w:pPr>
        <w:pStyle w:val="ListBullet"/>
        <w:spacing w:after="50" w:line="247" w:lineRule="auto"/>
        <w:ind w:left="403" w:hanging="230"/>
      </w:pPr>
      <w:r>
        <w:rPr>
          <w:rFonts w:ascii="Liberation Sans" w:hAnsi="Liberation Sans"/>
          <w:color w:val="222222"/>
          <w:sz w:val="21"/>
        </w:rPr>
        <w:t>Leave room for practice, feedback and reflection.</w:t>
      </w:r>
    </w:p>
    <w:p>
      <w:r>
        <w:rPr>
          <w:rFonts w:ascii="Liberation Sans" w:hAnsi="Liberation Sans"/>
          <w:color w:val="222222"/>
          <w:sz w:val="21"/>
        </w:rPr>
        <w:t>These are general considerations rather than a fixed lesson sequence or output format.</w:t>
      </w:r>
    </w:p>
    <w:p>
      <w:pPr>
        <w:pStyle w:val="Heading1"/>
      </w:pPr>
      <w:r>
        <w:t>Sources</w:t>
      </w:r>
    </w:p>
    <w:p>
      <w:pPr>
        <w:spacing w:after="60"/>
      </w:pPr>
      <w:r>
        <w:rPr>
          <w:rFonts w:ascii="Liberation Sans" w:hAnsi="Liberation Sans"/>
          <w:color w:val="5B6573"/>
          <w:sz w:val="19"/>
        </w:rPr>
        <w:t>These references inform the general background in this file.</w:t>
      </w:r>
    </w:p>
    <w:p>
      <w:pPr>
        <w:pStyle w:val="ListBullet"/>
        <w:spacing w:after="50" w:line="247" w:lineRule="auto"/>
        <w:ind w:left="403" w:hanging="230"/>
      </w:pPr>
      <w:hyperlink r:id="rId9">
        <w:r>
          <w:rPr>
            <w:color w:val="245A83"/>
            <w:u w:val="single"/>
          </w:rPr>
          <w:t>UNESCO Recommendation on Adult Learning and Education (2015)</w:t>
        </w:r>
      </w:hyperlink>
    </w:p>
    <w:p>
      <w:pPr>
        <w:pStyle w:val="ListBullet"/>
        <w:spacing w:after="50" w:line="247" w:lineRule="auto"/>
        <w:ind w:left="403" w:hanging="230"/>
      </w:pPr>
      <w:hyperlink r:id="rId10">
        <w:r>
          <w:rPr>
            <w:color w:val="245A83"/>
            <w:u w:val="single"/>
          </w:rPr>
          <w:t>European Commission Adult Learning Initiatives</w:t>
        </w:r>
      </w:hyperlink>
    </w:p>
    <w:p>
      <w:pPr>
        <w:pStyle w:val="ListBullet"/>
        <w:spacing w:after="50" w:line="247" w:lineRule="auto"/>
        <w:ind w:left="403" w:hanging="230"/>
      </w:pPr>
      <w:hyperlink r:id="rId11">
        <w:r>
          <w:rPr>
            <w:color w:val="245A83"/>
            <w:u w:val="single"/>
          </w:rPr>
          <w:t>CAST Universal Design for Learning Guidelines 3.0 (2024)</w:t>
        </w:r>
      </w:hyperlink>
    </w:p>
    <w:sectPr w:rsidR="00FC693F" w:rsidRPr="0006063C" w:rsidSect="00034616">
      <w:pgSz w:w="12240" w:h="15840"/>
      <w:pgMar w:top="979"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Liberation Sans" w:hAnsi="Liberation San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Liberation Sans" w:hAnsi="Liberation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Liberation Sans" w:hAnsi="Liberation Sans"/>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Liberation Sans" w:hAnsi="Liberation Sans"/>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5" w:lineRule="auto"/>
      <w:contextualSpacing/>
    </w:pPr>
    <w:rPr>
      <w:rFonts w:ascii="Liberation Sans" w:hAnsi="Liberation San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unesco.org/en/legal-affairs/recommendation-adult-learning-and-education" TargetMode="External"/><Relationship Id="rId10" Type="http://schemas.openxmlformats.org/officeDocument/2006/relationships/hyperlink" Target="https://education.ec.europa.eu/education-levels/adult-learning/about-adult-learning" TargetMode="External"/><Relationship Id="rId11" Type="http://schemas.openxmlformats.org/officeDocument/2006/relationships/hyperlink" Target="https://udlguidelines.ca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